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B45AA">
      <w:pPr>
        <w:spacing w:line="360" w:lineRule="auto"/>
        <w:jc w:val="center"/>
        <w:rPr>
          <w:rFonts w:ascii="Times New Roman" w:hAnsi="Times New Roman" w:cs="Times New Roman"/>
          <w:sz w:val="24"/>
          <w:szCs w:val="24"/>
        </w:rPr>
      </w:pPr>
      <w:bookmarkStart w:id="6" w:name="_GoBack"/>
      <w:bookmarkEnd w:id="6"/>
      <w:bookmarkStart w:id="0" w:name="OLE_LINK5"/>
      <w:bookmarkStart w:id="1" w:name="OLE_LINK6"/>
      <w:bookmarkStart w:id="2" w:name="OLE_LINK17"/>
      <w:bookmarkStart w:id="3" w:name="OLE_LINK16"/>
      <w:r>
        <w:rPr>
          <w:rFonts w:hint="eastAsia" w:ascii="Times New Roman" w:hAnsi="Times New Roman" w:cs="Times New Roman"/>
          <w:sz w:val="24"/>
          <w:szCs w:val="24"/>
        </w:rPr>
        <w:t>天津市生态环境科学研究院马场道125号维修维护项目</w:t>
      </w:r>
      <w:r>
        <w:rPr>
          <w:rFonts w:ascii="Times New Roman" w:hAnsi="Times New Roman" w:cs="Times New Roman"/>
          <w:sz w:val="24"/>
          <w:szCs w:val="24"/>
        </w:rPr>
        <w:t>（项目编号：TGPC-2025-D-1408）公开招标</w:t>
      </w:r>
      <w:r>
        <w:rPr>
          <w:rFonts w:hint="eastAsia" w:ascii="Times New Roman" w:hAnsi="Times New Roman" w:cs="Times New Roman"/>
          <w:sz w:val="24"/>
          <w:szCs w:val="24"/>
        </w:rPr>
        <w:t>公告</w:t>
      </w:r>
    </w:p>
    <w:p w14:paraId="4A71A9B2"/>
    <w:bookmarkEnd w:id="0"/>
    <w:bookmarkEnd w:id="1"/>
    <w:bookmarkEnd w:id="2"/>
    <w:bookmarkEnd w:id="3"/>
    <w:p w14:paraId="0CD134DC">
      <w:pPr>
        <w:pStyle w:val="11"/>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受</w:t>
      </w:r>
      <w:r>
        <w:rPr>
          <w:rFonts w:hint="eastAsia" w:ascii="Times New Roman" w:hAnsi="Times New Roman" w:eastAsia="宋体" w:cs="Times New Roman"/>
          <w:color w:val="auto"/>
        </w:rPr>
        <w:t>天津市生态环境科学研究院</w:t>
      </w:r>
      <w:r>
        <w:rPr>
          <w:rFonts w:ascii="Times New Roman" w:hAnsi="Times New Roman" w:cs="Times New Roman" w:eastAsiaTheme="minorEastAsia"/>
          <w:color w:val="auto"/>
          <w:szCs w:val="32"/>
        </w:rPr>
        <w:t>委托，天津市政府采购中心将以公开招标方式，对</w:t>
      </w:r>
      <w:r>
        <w:rPr>
          <w:rFonts w:hint="eastAsia" w:ascii="Times New Roman" w:hAnsi="Times New Roman" w:cs="Times New Roman" w:eastAsiaTheme="minorEastAsia"/>
          <w:color w:val="auto"/>
          <w:szCs w:val="32"/>
        </w:rPr>
        <w:t>天津市生态环境科学研究院马场道125号维修维护项目</w:t>
      </w:r>
      <w:r>
        <w:rPr>
          <w:rFonts w:ascii="Times New Roman" w:hAnsi="Times New Roman" w:cs="Times New Roman" w:eastAsiaTheme="minorEastAsia"/>
          <w:color w:val="auto"/>
          <w:szCs w:val="32"/>
        </w:rPr>
        <w:t>实施政府采购。现欢迎合格的供应商参加投标。</w:t>
      </w:r>
    </w:p>
    <w:p w14:paraId="0A27EF51">
      <w:pPr>
        <w:pStyle w:val="11"/>
        <w:spacing w:line="360" w:lineRule="auto"/>
        <w:ind w:firstLine="480" w:firstLineChars="200"/>
        <w:jc w:val="both"/>
        <w:rPr>
          <w:rFonts w:ascii="Times New Roman" w:hAnsi="Times New Roman" w:eastAsia="宋体" w:cs="Times New Roman"/>
          <w:color w:val="auto"/>
          <w:szCs w:val="32"/>
        </w:rPr>
      </w:pPr>
      <w:r>
        <w:rPr>
          <w:rFonts w:hint="eastAsia" w:ascii="Times New Roman" w:hAnsi="Times New Roman" w:eastAsia="宋体" w:cs="Times New Roman"/>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1989EEE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一、项目名称和编号</w:t>
      </w:r>
    </w:p>
    <w:p w14:paraId="6E96094E">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w:t>
      </w:r>
      <w:r>
        <w:rPr>
          <w:rFonts w:hint="eastAsia" w:ascii="Times New Roman" w:hAnsi="Times New Roman" w:eastAsia="宋体" w:cs="Times New Roman"/>
          <w:color w:val="auto"/>
        </w:rPr>
        <w:t>天津市生态环境科学研究院马场道125号维修维护项目</w:t>
      </w:r>
    </w:p>
    <w:p w14:paraId="4553FDE4">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（二）项目编号：TGPC-202</w:t>
      </w:r>
      <w:r>
        <w:rPr>
          <w:rFonts w:hint="eastAsia" w:ascii="Times New Roman" w:hAnsi="Times New Roman" w:eastAsia="宋体" w:cs="Times New Roman"/>
          <w:color w:val="auto"/>
        </w:rPr>
        <w:t>5</w:t>
      </w:r>
      <w:r>
        <w:rPr>
          <w:rFonts w:ascii="Times New Roman" w:hAnsi="Times New Roman" w:eastAsia="宋体" w:cs="Times New Roman"/>
          <w:color w:val="auto"/>
        </w:rPr>
        <w:t>-</w:t>
      </w:r>
      <w:r>
        <w:rPr>
          <w:rFonts w:hint="eastAsia" w:ascii="Times New Roman" w:hAnsi="Times New Roman" w:eastAsia="宋体" w:cs="Times New Roman"/>
          <w:color w:val="auto"/>
        </w:rPr>
        <w:t>D</w:t>
      </w:r>
      <w:r>
        <w:rPr>
          <w:rFonts w:ascii="Times New Roman" w:hAnsi="Times New Roman" w:eastAsia="宋体" w:cs="Times New Roman"/>
          <w:color w:val="auto"/>
        </w:rPr>
        <w:t>-1408</w:t>
      </w:r>
    </w:p>
    <w:p w14:paraId="7F74DDC2">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二、项目内容</w:t>
      </w:r>
    </w:p>
    <w:p w14:paraId="441EED9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第一包：</w:t>
      </w:r>
      <w:r>
        <w:rPr>
          <w:rFonts w:hint="eastAsia" w:ascii="Times New Roman" w:hAnsi="Times New Roman" w:eastAsia="宋体" w:cs="Times New Roman"/>
          <w:color w:val="auto"/>
        </w:rPr>
        <w:t>马场道125号维修维护服务，合同履行期限：签订合同开工之日起50日内完成。</w:t>
      </w:r>
    </w:p>
    <w:p w14:paraId="3DBB7350">
      <w:pPr>
        <w:pStyle w:val="11"/>
        <w:spacing w:line="360" w:lineRule="auto"/>
        <w:ind w:firstLine="480" w:firstLineChars="200"/>
        <w:jc w:val="both"/>
        <w:rPr>
          <w:rFonts w:ascii="Times New Roman" w:hAnsi="Times New Roman" w:cs="Times New Roman"/>
          <w:color w:val="auto"/>
        </w:rPr>
      </w:pPr>
      <w:r>
        <w:rPr>
          <w:rFonts w:ascii="Times New Roman" w:hAnsi="Times New Roman" w:cs="Times New Roman"/>
          <w:color w:val="auto"/>
        </w:rPr>
        <w:t>三、项目预算</w:t>
      </w:r>
    </w:p>
    <w:p w14:paraId="350E26ED">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第一包：876000元</w:t>
      </w:r>
      <w:r>
        <w:rPr>
          <w:rFonts w:hint="eastAsia" w:ascii="Times New Roman" w:hAnsi="Times New Roman" w:eastAsia="宋体" w:cs="Times New Roman"/>
          <w:color w:val="auto"/>
        </w:rPr>
        <w:t>。</w:t>
      </w:r>
    </w:p>
    <w:p w14:paraId="7927FEB4">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、供应商资格要求（实质性要求）</w:t>
      </w:r>
    </w:p>
    <w:p w14:paraId="5264F15C">
      <w:pPr>
        <w:pStyle w:val="11"/>
        <w:spacing w:line="360" w:lineRule="auto"/>
        <w:ind w:firstLine="480" w:firstLineChars="200"/>
        <w:rPr>
          <w:rFonts w:ascii="Times New Roman" w:hAnsi="Times New Roman" w:cs="Times New Roman" w:eastAsiaTheme="minorEastAsia"/>
          <w:color w:val="auto"/>
        </w:rPr>
      </w:pPr>
      <w:r>
        <w:rPr>
          <w:rFonts w:hint="eastAsia" w:ascii="Times New Roman" w:hAnsi="Times New Roman" w:cs="Times New Roman" w:eastAsiaTheme="minorEastAsia"/>
          <w:color w:val="auto"/>
        </w:rPr>
        <w:t>（一）供应商应具备建筑工程施工总承包三级及以上资质，提供资质证书原件扫描件。</w:t>
      </w:r>
    </w:p>
    <w:p w14:paraId="189EAA93">
      <w:pPr>
        <w:pStyle w:val="11"/>
        <w:spacing w:line="360" w:lineRule="auto"/>
        <w:ind w:firstLine="480" w:firstLineChars="200"/>
        <w:rPr>
          <w:rFonts w:ascii="Times New Roman" w:hAnsi="Times New Roman" w:cs="Times New Roman" w:eastAsiaTheme="minorEastAsia"/>
          <w:color w:val="auto"/>
        </w:rPr>
      </w:pPr>
      <w:r>
        <w:rPr>
          <w:rFonts w:hint="eastAsia" w:ascii="Times New Roman" w:hAnsi="Times New Roman" w:cs="Times New Roman" w:eastAsiaTheme="minorEastAsia"/>
          <w:color w:val="auto"/>
        </w:rPr>
        <w:t>（二）供应商应具备有效期内的《安全生产许可证》，提供证书原件扫描件。</w:t>
      </w:r>
    </w:p>
    <w:p w14:paraId="17BAB23D">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（三）供应商应具备《中华人民共和国政府采购法》第二十二条第一款和《政府采购法实施条例》第十八条规定的条件，</w:t>
      </w:r>
      <w:r>
        <w:rPr>
          <w:rFonts w:ascii="Times New Roman" w:hAnsi="Times New Roman" w:eastAsia="宋体" w:cs="Times New Roman"/>
          <w:color w:val="auto"/>
        </w:rPr>
        <w:t>提供以下材料：</w:t>
      </w:r>
    </w:p>
    <w:p w14:paraId="2A51AA1F">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384F4B02">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0BE81874">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（四）本项目不接受联合体投标。</w:t>
      </w:r>
    </w:p>
    <w:p w14:paraId="012E5C06">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cs="Times New Roman" w:eastAsiaTheme="minorEastAsia"/>
          <w:color w:val="auto"/>
        </w:rPr>
        <w:t>（五）本项目专门面向中小企业采购，提供《中小企业声明函》。</w:t>
      </w:r>
    </w:p>
    <w:p w14:paraId="6C8E6B3A">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、项目需要落实的政府采购政策</w:t>
      </w:r>
    </w:p>
    <w:p w14:paraId="2D81F589">
      <w:pPr>
        <w:pStyle w:val="11"/>
        <w:spacing w:line="360" w:lineRule="auto"/>
        <w:ind w:firstLine="480" w:firstLineChars="200"/>
        <w:rPr>
          <w:rFonts w:ascii="Times New Roman" w:hAnsi="Times New Roman" w:eastAsia="宋体" w:cs="Times New Roman"/>
          <w:color w:val="auto"/>
        </w:rPr>
      </w:pPr>
      <w:bookmarkStart w:id="4" w:name="OLE_LINK3"/>
      <w:bookmarkStart w:id="5" w:name="OLE_LINK4"/>
      <w:r>
        <w:rPr>
          <w:rFonts w:ascii="Times New Roman" w:hAnsi="Times New Roman" w:eastAsia="宋体" w:cs="Times New Roman"/>
          <w:color w:val="auto"/>
        </w:rPr>
        <w:t>（一）</w:t>
      </w:r>
      <w:r>
        <w:rPr>
          <w:rFonts w:hint="eastAsia" w:ascii="Times New Roman" w:hAnsi="Times New Roman" w:eastAsia="宋体" w:cs="Times New Roman"/>
          <w:color w:val="auto"/>
        </w:rPr>
        <w:t>本项目专门面向中小企业采购</w:t>
      </w:r>
      <w:r>
        <w:rPr>
          <w:rFonts w:ascii="Times New Roman" w:hAnsi="Times New Roman" w:eastAsia="宋体" w:cs="Times New Roman"/>
          <w:color w:val="auto"/>
        </w:rPr>
        <w:t>。</w:t>
      </w:r>
    </w:p>
    <w:p w14:paraId="2CD2AE52">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（二）根据财政部发布的《关于政府采购支持监狱企业发展有关问题的通知》规定，监狱企业视同小微企业。</w:t>
      </w:r>
    </w:p>
    <w:p w14:paraId="4FCC0020">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w:t>
      </w:r>
      <w:r>
        <w:rPr>
          <w:rFonts w:hint="eastAsia" w:ascii="Times New Roman" w:hAnsi="Times New Roman" w:eastAsia="宋体"/>
          <w:color w:val="auto"/>
        </w:rPr>
        <w:t>根据财政部、民政部、中国残疾人联合会发布的《关于促进残疾人就业政府采购政策的通知》规定，残疾人福利性单位视同小微企业。</w:t>
      </w:r>
    </w:p>
    <w:p w14:paraId="4187132E">
      <w:pPr>
        <w:pStyle w:val="11"/>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791D5CAE">
      <w:pPr>
        <w:pStyle w:val="11"/>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3B37E5BD">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4"/>
    <w:bookmarkEnd w:id="5"/>
    <w:p w14:paraId="3068B692">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六、获取招标文件时间、方式</w:t>
      </w:r>
    </w:p>
    <w:p w14:paraId="5C0F2962">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（一）获取招标文件时间：2025年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31</w:t>
      </w:r>
      <w:r>
        <w:rPr>
          <w:rFonts w:ascii="Times New Roman" w:hAnsi="Times New Roman" w:eastAsia="宋体" w:cs="Times New Roman"/>
          <w:color w:val="auto"/>
        </w:rPr>
        <w:t>日至202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8</w:t>
      </w:r>
      <w:r>
        <w:rPr>
          <w:rFonts w:ascii="Times New Roman" w:hAnsi="Times New Roman" w:eastAsia="宋体" w:cs="Times New Roman"/>
          <w:color w:val="auto"/>
        </w:rPr>
        <w:t>日，每日9:00至17:00（北京时间，法定节假日除外）。</w:t>
      </w:r>
    </w:p>
    <w:p w14:paraId="61D3F61B">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（二）获取招标文件的方式：</w:t>
      </w:r>
    </w:p>
    <w:p w14:paraId="3F0682A6">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w:t>
      </w:r>
      <w:r>
        <w:rPr>
          <w:rFonts w:hint="eastAsia" w:ascii="Times New Roman" w:hAnsi="Times New Roman" w:eastAsia="宋体" w:cs="Times New Roman"/>
          <w:color w:val="auto"/>
        </w:rPr>
        <w:t xml:space="preserve"> </w:t>
      </w:r>
      <w:r>
        <w:rPr>
          <w:rFonts w:ascii="Times New Roman" w:hAnsi="Times New Roman" w:eastAsia="宋体" w:cs="Times New Roman"/>
          <w:color w:val="auto"/>
        </w:rPr>
        <w:t>获取招标文件网址：使用天津数字认证有限公司发出的CA数字证书（原天津市电子认证中心发出尚在有效期内的CA数字证书仍可使用）登录天津市政府采购中心网（网址：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8"/>
          <w:rFonts w:hint="eastAsia" w:ascii="Times New Roman" w:hAnsi="Times New Roman" w:eastAsia="宋体" w:cs="Times New Roman"/>
        </w:rPr>
        <w:t>http://tjgpc.zwfwb.tj.gov.cn</w:t>
      </w:r>
      <w:r>
        <w:rPr>
          <w:rStyle w:val="8"/>
          <w:rFonts w:ascii="Times New Roman" w:hAnsi="Times New Roman" w:eastAsia="宋体" w:cs="Times New Roman"/>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5E618FE6">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 xml:space="preserve">2. </w:t>
      </w:r>
      <w:r>
        <w:rPr>
          <w:rFonts w:hint="eastAsia" w:ascii="Times New Roman" w:hAnsi="Times New Roman" w:eastAsia="宋体" w:cs="Times New Roman"/>
          <w:color w:val="auto"/>
        </w:rPr>
        <w:t>供应商注册、</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0E17F1DA">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w:t>
      </w:r>
      <w:r>
        <w:rPr>
          <w:rFonts w:ascii="Times New Roman" w:hAnsi="Times New Roman" w:eastAsia="宋体" w:cs="Times New Roman"/>
          <w:color w:val="auto"/>
        </w:rPr>
        <w:t>1</w:t>
      </w:r>
      <w:r>
        <w:rPr>
          <w:rFonts w:hint="eastAsia" w:ascii="Times New Roman" w:hAnsi="Times New Roman" w:eastAsia="宋体" w:cs="Times New Roman"/>
          <w:color w:val="auto"/>
        </w:rPr>
        <w:t>）天津市政府采购中心网注册：登录天津市政府采购中心网（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ascii="Times New Roman" w:hAnsi="Times New Roman" w:eastAsia="宋体" w:cs="Times New Roman"/>
          <w:color w:val="auto"/>
        </w:rPr>
        <w:t>24538167</w:t>
      </w:r>
      <w:r>
        <w:rPr>
          <w:rFonts w:hint="eastAsia" w:ascii="Times New Roman" w:hAnsi="Times New Roman" w:eastAsia="宋体"/>
          <w:color w:val="auto"/>
        </w:rPr>
        <w:t>。</w:t>
      </w:r>
    </w:p>
    <w:p w14:paraId="00BDCEB3">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w:t>
      </w:r>
      <w:r>
        <w:rPr>
          <w:rFonts w:ascii="Times New Roman" w:hAnsi="Times New Roman" w:eastAsia="宋体" w:cs="Times New Roman"/>
          <w:color w:val="auto"/>
        </w:rPr>
        <w:t>--</w:t>
      </w:r>
      <w:r>
        <w:rPr>
          <w:rFonts w:hint="eastAsia" w:ascii="Times New Roman" w:hAnsi="Times New Roman" w:eastAsia="宋体" w:cs="Times New Roman"/>
          <w:color w:val="auto"/>
        </w:rPr>
        <w:t>服务指南</w:t>
      </w:r>
      <w:r>
        <w:rPr>
          <w:rFonts w:ascii="Times New Roman" w:hAnsi="Times New Roman" w:eastAsia="宋体" w:cs="Times New Roman"/>
          <w:color w:val="auto"/>
        </w:rPr>
        <w:t>--</w:t>
      </w:r>
      <w:r>
        <w:rPr>
          <w:rFonts w:hint="eastAsia" w:ascii="Times New Roman" w:hAnsi="Times New Roman" w:eastAsia="宋体" w:cs="Times New Roman"/>
          <w:color w:val="auto"/>
        </w:rPr>
        <w:t>供应商注册、领取</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）及电子签章制章的流程。</w:t>
      </w:r>
    </w:p>
    <w:p w14:paraId="1B5DC89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数字证书办理联系电话：</w:t>
      </w:r>
      <w:r>
        <w:rPr>
          <w:rFonts w:ascii="Times New Roman" w:hAnsi="Times New Roman" w:eastAsia="宋体" w:cs="Times New Roman"/>
          <w:color w:val="auto"/>
        </w:rPr>
        <w:t>400-0566-110</w:t>
      </w:r>
      <w:r>
        <w:rPr>
          <w:rFonts w:hint="eastAsia" w:ascii="Times New Roman" w:hAnsi="Times New Roman" w:eastAsia="宋体" w:cs="Times New Roman"/>
          <w:color w:val="auto"/>
        </w:rPr>
        <w:t>或</w:t>
      </w:r>
      <w:r>
        <w:rPr>
          <w:rFonts w:ascii="Times New Roman" w:hAnsi="Times New Roman" w:eastAsia="宋体" w:cs="Times New Roman"/>
          <w:color w:val="auto"/>
        </w:rPr>
        <w:t>022-24538059</w:t>
      </w:r>
      <w:r>
        <w:rPr>
          <w:rFonts w:hint="eastAsia" w:ascii="Times New Roman" w:hAnsi="Times New Roman" w:eastAsia="宋体" w:cs="Times New Roman"/>
          <w:color w:val="auto"/>
        </w:rPr>
        <w:t>。</w:t>
      </w:r>
    </w:p>
    <w:p w14:paraId="411E3091">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w:t>
      </w:r>
      <w:r>
        <w:rPr>
          <w:rFonts w:ascii="Times New Roman" w:hAnsi="Times New Roman" w:eastAsia="宋体" w:cs="Times New Roman"/>
          <w:color w:val="auto"/>
        </w:rPr>
        <w:t>022-24538</w:t>
      </w:r>
      <w:r>
        <w:rPr>
          <w:rFonts w:hint="eastAsia" w:ascii="Times New Roman" w:hAnsi="Times New Roman" w:eastAsia="宋体" w:cs="Times New Roman"/>
          <w:color w:val="auto"/>
        </w:rPr>
        <w:t>059。</w:t>
      </w:r>
    </w:p>
    <w:p w14:paraId="75DBA04C">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w:t>
      </w:r>
      <w:r>
        <w:rPr>
          <w:rFonts w:hint="eastAsia" w:ascii="Times New Roman" w:hAnsi="Times New Roman" w:eastAsia="宋体" w:cs="Times New Roman"/>
          <w:color w:val="auto"/>
        </w:rPr>
        <w:t>三</w:t>
      </w:r>
      <w:r>
        <w:rPr>
          <w:rFonts w:ascii="Times New Roman" w:hAnsi="Times New Roman" w:eastAsia="宋体" w:cs="Times New Roman"/>
          <w:color w:val="auto"/>
        </w:rPr>
        <w:t>）</w:t>
      </w:r>
      <w:r>
        <w:rPr>
          <w:rFonts w:hint="eastAsia" w:ascii="Times New Roman" w:hAnsi="Times New Roman" w:eastAsia="宋体" w:cs="Times New Roman"/>
          <w:color w:val="auto"/>
        </w:rPr>
        <w:t>本项目组织</w:t>
      </w:r>
      <w:r>
        <w:rPr>
          <w:rFonts w:ascii="Times New Roman" w:hAnsi="Times New Roman" w:eastAsia="宋体" w:cs="Times New Roman"/>
          <w:color w:val="auto"/>
        </w:rPr>
        <w:t>踏勘现场</w:t>
      </w:r>
      <w:r>
        <w:rPr>
          <w:rFonts w:hint="eastAsia" w:ascii="Times New Roman" w:hAnsi="Times New Roman" w:eastAsia="宋体" w:cs="Times New Roman"/>
          <w:color w:val="auto"/>
        </w:rPr>
        <w:t>，时间地点安排如下：</w:t>
      </w:r>
    </w:p>
    <w:p w14:paraId="548AADD0">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9</w:t>
      </w:r>
      <w:r>
        <w:rPr>
          <w:rFonts w:ascii="Times New Roman" w:hAnsi="Times New Roman" w:eastAsia="宋体" w:cs="Times New Roman"/>
          <w:color w:val="auto"/>
        </w:rPr>
        <w:t>日</w:t>
      </w:r>
      <w:r>
        <w:rPr>
          <w:rFonts w:hint="eastAsia" w:ascii="Times New Roman" w:hAnsi="Times New Roman" w:eastAsia="宋体" w:cs="Times New Roman"/>
          <w:color w:val="auto"/>
        </w:rPr>
        <w:t>9</w:t>
      </w:r>
      <w:r>
        <w:rPr>
          <w:rFonts w:ascii="Times New Roman" w:hAnsi="Times New Roman" w:eastAsia="宋体" w:cs="Times New Roman"/>
          <w:color w:val="auto"/>
        </w:rPr>
        <w:t>:</w:t>
      </w:r>
      <w:r>
        <w:rPr>
          <w:rFonts w:hint="eastAsia" w:ascii="Times New Roman" w:hAnsi="Times New Roman" w:eastAsia="宋体" w:cs="Times New Roman"/>
          <w:color w:val="auto"/>
        </w:rPr>
        <w:t>3</w:t>
      </w:r>
      <w:r>
        <w:rPr>
          <w:rFonts w:ascii="Times New Roman" w:hAnsi="Times New Roman" w:eastAsia="宋体" w:cs="Times New Roman"/>
          <w:color w:val="auto"/>
        </w:rPr>
        <w:t>0在</w:t>
      </w:r>
      <w:r>
        <w:rPr>
          <w:rFonts w:hint="eastAsia" w:ascii="Times New Roman" w:hAnsi="Times New Roman" w:eastAsia="宋体" w:cs="Times New Roman"/>
          <w:color w:val="auto"/>
        </w:rPr>
        <w:t>马场道125号门前</w:t>
      </w:r>
      <w:r>
        <w:rPr>
          <w:rFonts w:ascii="Times New Roman" w:hAnsi="Times New Roman" w:eastAsia="宋体" w:cs="Times New Roman"/>
          <w:color w:val="auto"/>
        </w:rPr>
        <w:t>集合。联系人：</w:t>
      </w:r>
      <w:r>
        <w:rPr>
          <w:rFonts w:hint="eastAsia" w:ascii="Times New Roman" w:hAnsi="Times New Roman" w:eastAsia="宋体" w:cs="Times New Roman"/>
          <w:color w:val="auto"/>
        </w:rPr>
        <w:t>刘宝，</w:t>
      </w:r>
      <w:r>
        <w:rPr>
          <w:rFonts w:ascii="Times New Roman" w:hAnsi="Times New Roman" w:eastAsia="宋体" w:cs="Times New Roman"/>
          <w:color w:val="auto"/>
        </w:rPr>
        <w:t>联系电话：022-87671910。</w:t>
      </w:r>
    </w:p>
    <w:p w14:paraId="60B8F883">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（四）本项目不组织标前答疑会</w:t>
      </w:r>
      <w:r>
        <w:rPr>
          <w:rFonts w:ascii="Times New Roman" w:hAnsi="Times New Roman" w:eastAsia="宋体" w:cs="Times New Roman"/>
          <w:color w:val="auto"/>
        </w:rPr>
        <w:t>。</w:t>
      </w:r>
    </w:p>
    <w:p w14:paraId="391B4880">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七、网上应答时间</w:t>
      </w:r>
    </w:p>
    <w:p w14:paraId="7DD0B86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31</w:t>
      </w:r>
      <w:r>
        <w:rPr>
          <w:rFonts w:ascii="Times New Roman" w:hAnsi="Times New Roman" w:eastAsia="宋体" w:cs="Times New Roman"/>
          <w:color w:val="auto"/>
        </w:rPr>
        <w:t>日9:00至202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21</w:t>
      </w:r>
      <w:r>
        <w:rPr>
          <w:rFonts w:ascii="Times New Roman" w:hAnsi="Times New Roman" w:eastAsia="宋体" w:cs="Times New Roman"/>
          <w:color w:val="auto"/>
        </w:rPr>
        <w:t>日8:30，使用天津数字认证有限公司发出的CA数字证书（原天津市电子认证中心发出尚在有效期内的CA数字证书仍可使用）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进行应答</w:t>
      </w:r>
      <w:r>
        <w:rPr>
          <w:rFonts w:hint="eastAsia" w:ascii="Times New Roman" w:hAnsi="Times New Roman" w:eastAsia="宋体" w:cs="Times New Roman"/>
          <w:color w:val="auto"/>
        </w:rPr>
        <w:t>并提交</w:t>
      </w:r>
      <w:r>
        <w:rPr>
          <w:rFonts w:ascii="Times New Roman" w:hAnsi="Times New Roman" w:eastAsia="宋体" w:cs="Times New Roman"/>
          <w:color w:val="auto"/>
        </w:rPr>
        <w:t>。</w:t>
      </w:r>
    </w:p>
    <w:p w14:paraId="72FD8745">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网上应答帮助链接：http://tjgpc.zwfwb.tj.gov.cn/webInfo/getWebInfoListForwebInfoClass.do?fkWebInfoclassId=W008</w:t>
      </w:r>
    </w:p>
    <w:p w14:paraId="0E17F8F0">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八、投标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w:t>
      </w:r>
      <w:r>
        <w:rPr>
          <w:rFonts w:hint="eastAsia" w:ascii="Times New Roman" w:hAnsi="Times New Roman" w:eastAsia="宋体" w:cs="Times New Roman"/>
          <w:color w:val="auto"/>
        </w:rPr>
        <w:t>及方式</w:t>
      </w:r>
    </w:p>
    <w:p w14:paraId="0D305E0D">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21</w:t>
      </w:r>
      <w:r>
        <w:rPr>
          <w:rFonts w:ascii="Times New Roman" w:hAnsi="Times New Roman" w:eastAsia="宋体" w:cs="Times New Roman"/>
          <w:color w:val="auto"/>
        </w:rPr>
        <w:t>日8:30</w:t>
      </w:r>
      <w:r>
        <w:rPr>
          <w:rFonts w:hint="eastAsia" w:ascii="Times New Roman" w:hAnsi="Times New Roman" w:eastAsia="宋体" w:cs="Times New Roman"/>
          <w:color w:val="auto"/>
          <w:szCs w:val="21"/>
        </w:rPr>
        <w:t>。</w:t>
      </w:r>
      <w:r>
        <w:rPr>
          <w:rFonts w:ascii="Times New Roman" w:hAnsi="Times New Roman" w:eastAsia="宋体" w:cs="Times New Roman"/>
          <w:color w:val="auto"/>
        </w:rPr>
        <w:t>投标截止时间前</w:t>
      </w:r>
      <w:r>
        <w:rPr>
          <w:rFonts w:hint="eastAsia" w:ascii="Times New Roman" w:hAnsi="Times New Roman" w:eastAsia="宋体" w:cs="Times New Roman"/>
          <w:color w:val="auto"/>
        </w:rPr>
        <w:t>提交网上应答并上传加盖投标人电子签章的电子投标文件（以通过天津公共资源电子签章客户端正确读取签章信息为准）</w:t>
      </w:r>
      <w:r>
        <w:rPr>
          <w:rFonts w:ascii="Times New Roman" w:hAnsi="Times New Roman" w:eastAsia="宋体" w:cs="Times New Roman"/>
          <w:color w:val="auto"/>
        </w:rPr>
        <w:t>方为有效投标。</w:t>
      </w:r>
    </w:p>
    <w:p w14:paraId="0779B51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（二）投标</w:t>
      </w:r>
      <w:r>
        <w:rPr>
          <w:rFonts w:hint="eastAsia" w:ascii="Times New Roman" w:hAnsi="Times New Roman" w:eastAsia="宋体" w:cs="Times New Roman"/>
          <w:color w:val="auto"/>
        </w:rPr>
        <w:t>方式</w:t>
      </w:r>
      <w:r>
        <w:rPr>
          <w:rFonts w:ascii="Times New Roman" w:hAnsi="Times New Roman" w:eastAsia="宋体" w:cs="Times New Roman"/>
          <w:color w:val="auto"/>
        </w:rPr>
        <w:t>：本项目投标采用网上电子投标方式，投标人须于投标截止时间前使用天津数字认证有限公司发出的CA数字证书（原天津市电子认证中心发出尚在有效期内的CA数字证书仍可使用）登录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提交网上应答并上传加盖投标人电子签章的电子投标文件（以通过天津公共资源电子签章客户端正确读取签章信息为准）。</w:t>
      </w:r>
    </w:p>
    <w:p w14:paraId="29F61BE3">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、开标时间及方式</w:t>
      </w:r>
    </w:p>
    <w:p w14:paraId="53969E1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（一）开标解密时间：202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21</w:t>
      </w:r>
      <w:r>
        <w:rPr>
          <w:rFonts w:ascii="Times New Roman" w:hAnsi="Times New Roman" w:eastAsia="宋体" w:cs="Times New Roman"/>
          <w:color w:val="auto"/>
        </w:rPr>
        <w:t>日8:30至9:</w:t>
      </w:r>
      <w:r>
        <w:rPr>
          <w:rFonts w:hint="eastAsia" w:ascii="Times New Roman" w:hAnsi="Times New Roman" w:eastAsia="宋体" w:cs="Times New Roman"/>
          <w:color w:val="auto"/>
        </w:rPr>
        <w:t>30</w:t>
      </w:r>
      <w:r>
        <w:rPr>
          <w:rFonts w:ascii="Times New Roman" w:hAnsi="Times New Roman" w:eastAsia="宋体" w:cs="Times New Roman"/>
          <w:color w:val="auto"/>
        </w:rPr>
        <w:t>完成开标解密的投标为有效投标。</w:t>
      </w:r>
    </w:p>
    <w:p w14:paraId="0419CAD4">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（二）开标</w:t>
      </w:r>
      <w:r>
        <w:rPr>
          <w:rFonts w:hint="eastAsia" w:ascii="Times New Roman" w:hAnsi="Times New Roman" w:eastAsia="宋体" w:cs="Times New Roman"/>
          <w:color w:val="auto"/>
        </w:rPr>
        <w:t>解密方式</w:t>
      </w:r>
      <w:r>
        <w:rPr>
          <w:rFonts w:ascii="Times New Roman" w:hAnsi="Times New Roman" w:eastAsia="宋体" w:cs="Times New Roman"/>
          <w:color w:val="auto"/>
        </w:rPr>
        <w:t>：本项目采用网上开标方式，投标人须于</w:t>
      </w:r>
      <w:r>
        <w:rPr>
          <w:rFonts w:hint="eastAsia" w:ascii="Times New Roman" w:hAnsi="Times New Roman" w:eastAsia="宋体" w:cs="Times New Roman"/>
          <w:color w:val="auto"/>
        </w:rPr>
        <w:t>规定时间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p>
    <w:p w14:paraId="2303B182">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（三）网上开标公示时间：202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21</w:t>
      </w:r>
      <w:r>
        <w:rPr>
          <w:rFonts w:ascii="Times New Roman" w:hAnsi="Times New Roman" w:eastAsia="宋体" w:cs="Times New Roman"/>
          <w:color w:val="auto"/>
        </w:rPr>
        <w:t>日9:</w:t>
      </w:r>
      <w:r>
        <w:rPr>
          <w:rFonts w:hint="eastAsia" w:ascii="Times New Roman" w:hAnsi="Times New Roman" w:eastAsia="宋体" w:cs="Times New Roman"/>
          <w:color w:val="auto"/>
        </w:rPr>
        <w:t>30</w:t>
      </w:r>
      <w:r>
        <w:rPr>
          <w:rFonts w:ascii="Times New Roman" w:hAnsi="Times New Roman" w:eastAsia="宋体" w:cs="Times New Roman"/>
          <w:color w:val="auto"/>
        </w:rPr>
        <w:t>至12:00。</w:t>
      </w: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7DE78222">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十</w:t>
      </w:r>
      <w:r>
        <w:rPr>
          <w:rFonts w:ascii="Times New Roman" w:hAnsi="Times New Roman" w:eastAsia="宋体" w:cs="Times New Roman"/>
          <w:color w:val="auto"/>
        </w:rPr>
        <w:t>、采购代理机构名称、地址</w:t>
      </w:r>
      <w:r>
        <w:rPr>
          <w:rFonts w:hint="eastAsia" w:ascii="Times New Roman" w:hAnsi="Times New Roman" w:eastAsia="宋体" w:cs="Times New Roman"/>
          <w:color w:val="auto"/>
        </w:rPr>
        <w:t>、</w:t>
      </w:r>
      <w:r>
        <w:rPr>
          <w:rFonts w:ascii="Times New Roman" w:hAnsi="Times New Roman" w:eastAsia="宋体" w:cs="Times New Roman"/>
          <w:color w:val="auto"/>
        </w:rPr>
        <w:t>联系人及联系方式</w:t>
      </w:r>
    </w:p>
    <w:p w14:paraId="290E29FA">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66B4E2DA">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2CECC718">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联系人：</w:t>
      </w:r>
      <w:r>
        <w:rPr>
          <w:rFonts w:hint="eastAsia" w:ascii="Times New Roman" w:hAnsi="Times New Roman" w:eastAsia="宋体" w:cs="Times New Roman"/>
          <w:color w:val="auto"/>
        </w:rPr>
        <w:t>李楠、</w:t>
      </w:r>
      <w:r>
        <w:rPr>
          <w:rFonts w:ascii="Times New Roman" w:hAnsi="Times New Roman" w:eastAsia="宋体" w:cs="Times New Roman"/>
          <w:color w:val="auto"/>
        </w:rPr>
        <w:t>张东伟</w:t>
      </w:r>
      <w:r>
        <w:rPr>
          <w:rFonts w:hint="eastAsia" w:ascii="Times New Roman" w:hAnsi="Times New Roman" w:eastAsia="宋体" w:cs="Times New Roman"/>
          <w:color w:val="auto"/>
        </w:rPr>
        <w:t>、</w:t>
      </w:r>
      <w:r>
        <w:rPr>
          <w:rFonts w:ascii="Times New Roman" w:hAnsi="Times New Roman" w:eastAsia="宋体" w:cs="Times New Roman"/>
          <w:color w:val="auto"/>
        </w:rPr>
        <w:t>杨光</w:t>
      </w:r>
    </w:p>
    <w:p w14:paraId="7198C6EC">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16DB71B6">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6883646B">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1C26180F">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152F8732">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6D4EF783">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采购文件咨询：022-2453</w:t>
      </w:r>
      <w:r>
        <w:rPr>
          <w:rFonts w:hint="eastAsia" w:ascii="Times New Roman" w:hAnsi="Times New Roman" w:eastAsia="宋体" w:cs="Times New Roman"/>
          <w:color w:val="auto"/>
        </w:rPr>
        <w:t>8319</w:t>
      </w:r>
    </w:p>
    <w:p w14:paraId="7C76AF0D">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1025A911">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、采购人的名称、地址和联系方式</w:t>
      </w:r>
    </w:p>
    <w:p w14:paraId="0F678C92">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（一）采购人名称：</w:t>
      </w:r>
      <w:r>
        <w:rPr>
          <w:rFonts w:hint="eastAsia" w:ascii="Times New Roman" w:hAnsi="Times New Roman" w:eastAsia="宋体" w:cs="Times New Roman"/>
          <w:color w:val="auto"/>
        </w:rPr>
        <w:t>天津市生态环境科学研究院</w:t>
      </w:r>
    </w:p>
    <w:p w14:paraId="4E5C4F8E">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（二）采购人地址：</w:t>
      </w:r>
      <w:r>
        <w:rPr>
          <w:rFonts w:hint="eastAsia" w:ascii="Times New Roman" w:hAnsi="Times New Roman" w:eastAsia="宋体" w:cs="Times New Roman"/>
          <w:color w:val="auto"/>
        </w:rPr>
        <w:t>天津市南开区复康路17号</w:t>
      </w:r>
    </w:p>
    <w:p w14:paraId="2805338C">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（三）采购人联系人：</w:t>
      </w:r>
      <w:r>
        <w:rPr>
          <w:rFonts w:hint="eastAsia" w:ascii="Times New Roman" w:hAnsi="Times New Roman" w:eastAsia="宋体" w:cs="Times New Roman"/>
          <w:color w:val="auto"/>
        </w:rPr>
        <w:t>刘宝</w:t>
      </w:r>
    </w:p>
    <w:p w14:paraId="57FE0113">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（四）采购人联系电话：022-87671910</w:t>
      </w:r>
    </w:p>
    <w:p w14:paraId="3C31F9C1">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二</w:t>
      </w:r>
      <w:r>
        <w:rPr>
          <w:rFonts w:ascii="Times New Roman" w:hAnsi="Times New Roman" w:eastAsia="宋体" w:cs="Times New Roman"/>
          <w:color w:val="auto"/>
        </w:rPr>
        <w:t>、质疑方式</w:t>
      </w:r>
    </w:p>
    <w:p w14:paraId="7948FE08">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15BE885E">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625182D3">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联系部门：天津市生态环境科学研究院</w:t>
      </w:r>
    </w:p>
    <w:p w14:paraId="2C25320C">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联系地址：天津市南开区复康路17号</w:t>
      </w:r>
    </w:p>
    <w:p w14:paraId="5DEAD4C5">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联 系 人：刘宝</w:t>
      </w:r>
    </w:p>
    <w:p w14:paraId="3AF2E818">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w:t>
      </w:r>
      <w:r>
        <w:rPr>
          <w:rFonts w:ascii="Times New Roman" w:hAnsi="Times New Roman" w:eastAsia="宋体" w:cs="Times New Roman"/>
          <w:color w:val="auto"/>
        </w:rPr>
        <w:t>022-87671910</w:t>
      </w:r>
    </w:p>
    <w:p w14:paraId="5A066A7B">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（二）供应商对质疑答复不满意的，或者采购人、天津市政府采购中心未在规定期限内作出答复的，供应商可以在质疑答复期满后15个工作日内，向采购人同级财政部门提出投诉，逾期不予受理。</w:t>
      </w:r>
    </w:p>
    <w:p w14:paraId="4657F52D">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三</w:t>
      </w:r>
      <w:r>
        <w:rPr>
          <w:rFonts w:ascii="Times New Roman" w:hAnsi="Times New Roman" w:eastAsia="宋体" w:cs="Times New Roman"/>
          <w:color w:val="auto"/>
        </w:rPr>
        <w:t>、公告期限</w:t>
      </w:r>
    </w:p>
    <w:p w14:paraId="6703675D">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2FB340B4">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四</w:t>
      </w:r>
      <w:r>
        <w:rPr>
          <w:rFonts w:ascii="Times New Roman" w:hAnsi="Times New Roman" w:eastAsia="宋体" w:cs="Times New Roman"/>
          <w:color w:val="auto"/>
        </w:rPr>
        <w:t>、招标代理服务费</w:t>
      </w:r>
    </w:p>
    <w:p w14:paraId="0441E625">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本项目按以下比例向中标供应商收取招标代理服务费</w:t>
      </w:r>
      <w:r>
        <w:rPr>
          <w:rFonts w:hint="eastAsia" w:ascii="Times New Roman" w:hAnsi="Times New Roman" w:eastAsia="宋体" w:cs="Times New Roman"/>
          <w:color w:val="auto"/>
        </w:rPr>
        <w:t>：</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3295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34B935C2">
            <w:pPr>
              <w:tabs>
                <w:tab w:val="left" w:pos="750"/>
                <w:tab w:val="left" w:pos="840"/>
              </w:tabs>
              <w:adjustRightInd w:val="0"/>
              <w:snapToGrid w:val="0"/>
              <w:jc w:val="center"/>
              <w:rPr>
                <w:sz w:val="24"/>
              </w:rPr>
            </w:pPr>
            <w:r>
              <w:rPr>
                <w:sz w:val="24"/>
              </w:rPr>
              <w:t>中标金额</w:t>
            </w:r>
            <w:r>
              <w:rPr>
                <w:rFonts w:hint="eastAsia"/>
                <w:sz w:val="24"/>
              </w:rPr>
              <w:t>（万元）</w:t>
            </w:r>
          </w:p>
        </w:tc>
        <w:tc>
          <w:tcPr>
            <w:tcW w:w="3657" w:type="dxa"/>
            <w:vAlign w:val="center"/>
          </w:tcPr>
          <w:p w14:paraId="47CAF874">
            <w:pPr>
              <w:tabs>
                <w:tab w:val="left" w:pos="750"/>
                <w:tab w:val="left" w:pos="840"/>
              </w:tabs>
              <w:adjustRightInd w:val="0"/>
              <w:snapToGrid w:val="0"/>
              <w:jc w:val="center"/>
              <w:rPr>
                <w:sz w:val="24"/>
              </w:rPr>
            </w:pPr>
            <w:r>
              <w:rPr>
                <w:sz w:val="24"/>
              </w:rPr>
              <w:t>费率</w:t>
            </w:r>
          </w:p>
        </w:tc>
      </w:tr>
      <w:tr w14:paraId="4207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C6AB429">
            <w:pPr>
              <w:tabs>
                <w:tab w:val="left" w:pos="750"/>
                <w:tab w:val="left" w:pos="840"/>
              </w:tabs>
              <w:adjustRightInd w:val="0"/>
              <w:snapToGrid w:val="0"/>
              <w:jc w:val="center"/>
              <w:rPr>
                <w:sz w:val="24"/>
              </w:rPr>
            </w:pPr>
            <w:r>
              <w:rPr>
                <w:sz w:val="24"/>
              </w:rPr>
              <w:t>100以下</w:t>
            </w:r>
          </w:p>
        </w:tc>
        <w:tc>
          <w:tcPr>
            <w:tcW w:w="3657" w:type="dxa"/>
            <w:vAlign w:val="center"/>
          </w:tcPr>
          <w:p w14:paraId="28595329">
            <w:pPr>
              <w:tabs>
                <w:tab w:val="left" w:pos="750"/>
                <w:tab w:val="left" w:pos="840"/>
              </w:tabs>
              <w:adjustRightInd w:val="0"/>
              <w:snapToGrid w:val="0"/>
              <w:jc w:val="center"/>
              <w:rPr>
                <w:sz w:val="24"/>
              </w:rPr>
            </w:pPr>
            <w:r>
              <w:rPr>
                <w:sz w:val="24"/>
              </w:rPr>
              <w:t>1%</w:t>
            </w:r>
          </w:p>
        </w:tc>
      </w:tr>
      <w:tr w14:paraId="52076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B16533A">
            <w:pPr>
              <w:tabs>
                <w:tab w:val="left" w:pos="750"/>
                <w:tab w:val="left" w:pos="840"/>
              </w:tabs>
              <w:adjustRightInd w:val="0"/>
              <w:snapToGrid w:val="0"/>
              <w:jc w:val="center"/>
              <w:rPr>
                <w:sz w:val="24"/>
              </w:rPr>
            </w:pPr>
            <w:r>
              <w:rPr>
                <w:sz w:val="24"/>
              </w:rPr>
              <w:t>100-500</w:t>
            </w:r>
          </w:p>
        </w:tc>
        <w:tc>
          <w:tcPr>
            <w:tcW w:w="3657" w:type="dxa"/>
            <w:vAlign w:val="center"/>
          </w:tcPr>
          <w:p w14:paraId="12325280">
            <w:pPr>
              <w:tabs>
                <w:tab w:val="left" w:pos="750"/>
                <w:tab w:val="left" w:pos="840"/>
              </w:tabs>
              <w:adjustRightInd w:val="0"/>
              <w:snapToGrid w:val="0"/>
              <w:jc w:val="center"/>
              <w:rPr>
                <w:sz w:val="24"/>
              </w:rPr>
            </w:pPr>
            <w:r>
              <w:rPr>
                <w:rFonts w:hint="eastAsia"/>
                <w:sz w:val="24"/>
              </w:rPr>
              <w:t>0.8</w:t>
            </w:r>
            <w:r>
              <w:rPr>
                <w:sz w:val="24"/>
              </w:rPr>
              <w:t>%</w:t>
            </w:r>
          </w:p>
        </w:tc>
      </w:tr>
      <w:tr w14:paraId="1C0C3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7FE0896C">
            <w:pPr>
              <w:tabs>
                <w:tab w:val="left" w:pos="750"/>
                <w:tab w:val="left" w:pos="840"/>
              </w:tabs>
              <w:adjustRightInd w:val="0"/>
              <w:snapToGrid w:val="0"/>
              <w:jc w:val="center"/>
              <w:rPr>
                <w:sz w:val="24"/>
              </w:rPr>
            </w:pPr>
            <w:r>
              <w:rPr>
                <w:sz w:val="24"/>
              </w:rPr>
              <w:t>500-1000</w:t>
            </w:r>
          </w:p>
        </w:tc>
        <w:tc>
          <w:tcPr>
            <w:tcW w:w="3657" w:type="dxa"/>
            <w:vAlign w:val="center"/>
          </w:tcPr>
          <w:p w14:paraId="1882FF08">
            <w:pPr>
              <w:tabs>
                <w:tab w:val="left" w:pos="750"/>
                <w:tab w:val="left" w:pos="840"/>
              </w:tabs>
              <w:adjustRightInd w:val="0"/>
              <w:snapToGrid w:val="0"/>
              <w:jc w:val="center"/>
              <w:rPr>
                <w:sz w:val="24"/>
              </w:rPr>
            </w:pPr>
            <w:r>
              <w:rPr>
                <w:sz w:val="24"/>
              </w:rPr>
              <w:t>0.</w:t>
            </w:r>
            <w:r>
              <w:rPr>
                <w:rFonts w:hint="eastAsia"/>
                <w:sz w:val="24"/>
              </w:rPr>
              <w:t>45</w:t>
            </w:r>
            <w:r>
              <w:rPr>
                <w:sz w:val="24"/>
              </w:rPr>
              <w:t>%</w:t>
            </w:r>
          </w:p>
        </w:tc>
      </w:tr>
      <w:tr w14:paraId="1975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4284DE4E">
            <w:pPr>
              <w:tabs>
                <w:tab w:val="left" w:pos="750"/>
                <w:tab w:val="left" w:pos="840"/>
              </w:tabs>
              <w:adjustRightInd w:val="0"/>
              <w:snapToGrid w:val="0"/>
              <w:jc w:val="center"/>
              <w:rPr>
                <w:sz w:val="24"/>
              </w:rPr>
            </w:pPr>
            <w:r>
              <w:rPr>
                <w:sz w:val="24"/>
              </w:rPr>
              <w:t>1000</w:t>
            </w:r>
            <w:r>
              <w:rPr>
                <w:rFonts w:hint="eastAsia"/>
                <w:sz w:val="24"/>
              </w:rPr>
              <w:t>-5000</w:t>
            </w:r>
          </w:p>
        </w:tc>
        <w:tc>
          <w:tcPr>
            <w:tcW w:w="3657" w:type="dxa"/>
            <w:vAlign w:val="center"/>
          </w:tcPr>
          <w:p w14:paraId="4E820B06">
            <w:pPr>
              <w:tabs>
                <w:tab w:val="left" w:pos="750"/>
                <w:tab w:val="left" w:pos="840"/>
              </w:tabs>
              <w:adjustRightInd w:val="0"/>
              <w:snapToGrid w:val="0"/>
              <w:jc w:val="center"/>
              <w:rPr>
                <w:sz w:val="24"/>
              </w:rPr>
            </w:pPr>
            <w:r>
              <w:rPr>
                <w:rFonts w:hint="eastAsia"/>
                <w:sz w:val="24"/>
              </w:rPr>
              <w:t>0.25%</w:t>
            </w:r>
          </w:p>
        </w:tc>
      </w:tr>
      <w:tr w14:paraId="5FFE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B164B66">
            <w:pPr>
              <w:tabs>
                <w:tab w:val="left" w:pos="750"/>
                <w:tab w:val="left" w:pos="840"/>
              </w:tabs>
              <w:adjustRightInd w:val="0"/>
              <w:snapToGrid w:val="0"/>
              <w:jc w:val="center"/>
              <w:rPr>
                <w:sz w:val="24"/>
              </w:rPr>
            </w:pPr>
            <w:r>
              <w:rPr>
                <w:rFonts w:hint="eastAsia"/>
                <w:sz w:val="24"/>
              </w:rPr>
              <w:t>5000-10000</w:t>
            </w:r>
          </w:p>
        </w:tc>
        <w:tc>
          <w:tcPr>
            <w:tcW w:w="3657" w:type="dxa"/>
            <w:vAlign w:val="center"/>
          </w:tcPr>
          <w:p w14:paraId="3314F4F8">
            <w:pPr>
              <w:tabs>
                <w:tab w:val="left" w:pos="750"/>
                <w:tab w:val="left" w:pos="840"/>
              </w:tabs>
              <w:adjustRightInd w:val="0"/>
              <w:snapToGrid w:val="0"/>
              <w:jc w:val="center"/>
              <w:rPr>
                <w:sz w:val="24"/>
              </w:rPr>
            </w:pPr>
            <w:r>
              <w:rPr>
                <w:rFonts w:hint="eastAsia"/>
                <w:sz w:val="24"/>
              </w:rPr>
              <w:t>0.1%</w:t>
            </w:r>
          </w:p>
        </w:tc>
      </w:tr>
      <w:tr w14:paraId="29FC7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9F1A56B">
            <w:pPr>
              <w:tabs>
                <w:tab w:val="left" w:pos="750"/>
                <w:tab w:val="left" w:pos="840"/>
              </w:tabs>
              <w:adjustRightInd w:val="0"/>
              <w:snapToGrid w:val="0"/>
              <w:jc w:val="center"/>
              <w:rPr>
                <w:sz w:val="24"/>
              </w:rPr>
            </w:pPr>
            <w:r>
              <w:rPr>
                <w:rFonts w:hint="eastAsia"/>
                <w:sz w:val="24"/>
              </w:rPr>
              <w:t>10000-100000</w:t>
            </w:r>
          </w:p>
        </w:tc>
        <w:tc>
          <w:tcPr>
            <w:tcW w:w="3657" w:type="dxa"/>
            <w:vAlign w:val="center"/>
          </w:tcPr>
          <w:p w14:paraId="622A976E">
            <w:pPr>
              <w:tabs>
                <w:tab w:val="left" w:pos="750"/>
                <w:tab w:val="left" w:pos="840"/>
              </w:tabs>
              <w:adjustRightInd w:val="0"/>
              <w:snapToGrid w:val="0"/>
              <w:jc w:val="center"/>
              <w:rPr>
                <w:sz w:val="24"/>
              </w:rPr>
            </w:pPr>
            <w:r>
              <w:rPr>
                <w:rFonts w:hint="eastAsia"/>
                <w:sz w:val="24"/>
              </w:rPr>
              <w:t>0.05%</w:t>
            </w:r>
          </w:p>
        </w:tc>
      </w:tr>
    </w:tbl>
    <w:p w14:paraId="14B21DA3">
      <w:pPr>
        <w:tabs>
          <w:tab w:val="left" w:pos="700"/>
        </w:tabs>
        <w:autoSpaceDE w:val="0"/>
        <w:autoSpaceDN w:val="0"/>
        <w:adjustRightInd w:val="0"/>
        <w:spacing w:line="360" w:lineRule="auto"/>
        <w:ind w:firstLine="480" w:firstLineChars="200"/>
        <w:rPr>
          <w:sz w:val="24"/>
          <w:lang w:val="zh-CN"/>
        </w:rPr>
      </w:pPr>
      <w:r>
        <w:rPr>
          <w:sz w:val="24"/>
          <w:lang w:val="zh-CN"/>
        </w:rPr>
        <w:t>服务费按差额定率累进法计算</w:t>
      </w:r>
      <w:r>
        <w:rPr>
          <w:rFonts w:hint="eastAsia"/>
          <w:sz w:val="24"/>
          <w:lang w:val="zh-CN"/>
        </w:rPr>
        <w:t>，向下取整，精确到元。</w:t>
      </w:r>
      <w:r>
        <w:rPr>
          <w:sz w:val="24"/>
          <w:lang w:val="zh-CN"/>
        </w:rPr>
        <w:t>例如</w:t>
      </w:r>
      <w:r>
        <w:rPr>
          <w:sz w:val="24"/>
        </w:rPr>
        <w:t>中标</w:t>
      </w:r>
      <w:r>
        <w:rPr>
          <w:sz w:val="24"/>
          <w:lang w:val="zh-CN"/>
        </w:rPr>
        <w:t>金额为680</w:t>
      </w:r>
      <w:r>
        <w:rPr>
          <w:rFonts w:hint="eastAsia"/>
          <w:sz w:val="24"/>
          <w:lang w:val="zh-CN"/>
        </w:rPr>
        <w:t>5000</w:t>
      </w:r>
      <w:r>
        <w:rPr>
          <w:sz w:val="24"/>
          <w:lang w:val="zh-CN"/>
        </w:rPr>
        <w:t>元，服务费</w:t>
      </w:r>
      <w:r>
        <w:rPr>
          <w:rFonts w:hint="eastAsia"/>
          <w:sz w:val="24"/>
          <w:lang w:val="zh-CN"/>
        </w:rPr>
        <w:t>=</w:t>
      </w:r>
      <w:r>
        <w:rPr>
          <w:sz w:val="24"/>
          <w:lang w:val="zh-CN"/>
        </w:rPr>
        <w:t>100</w:t>
      </w:r>
      <w:r>
        <w:rPr>
          <w:rFonts w:hint="eastAsia"/>
          <w:sz w:val="24"/>
          <w:lang w:val="zh-CN"/>
        </w:rPr>
        <w:t>0000</w:t>
      </w:r>
      <w:r>
        <w:rPr>
          <w:sz w:val="24"/>
          <w:lang w:val="zh-CN"/>
        </w:rPr>
        <w:t>×1%+</w:t>
      </w:r>
      <w:r>
        <w:rPr>
          <w:rFonts w:hint="eastAsia"/>
          <w:sz w:val="24"/>
          <w:lang w:val="zh-CN"/>
        </w:rPr>
        <w:t>（</w:t>
      </w:r>
      <w:r>
        <w:rPr>
          <w:sz w:val="24"/>
          <w:lang w:val="zh-CN"/>
        </w:rPr>
        <w:t>500</w:t>
      </w:r>
      <w:r>
        <w:rPr>
          <w:rFonts w:hint="eastAsia"/>
          <w:sz w:val="24"/>
          <w:lang w:val="zh-CN"/>
        </w:rPr>
        <w:t>0000</w:t>
      </w:r>
      <w:r>
        <w:rPr>
          <w:sz w:val="24"/>
          <w:lang w:val="zh-CN"/>
        </w:rPr>
        <w:t>-100</w:t>
      </w:r>
      <w:r>
        <w:rPr>
          <w:rFonts w:hint="eastAsia"/>
          <w:sz w:val="24"/>
          <w:lang w:val="zh-CN"/>
        </w:rPr>
        <w:t>0000）</w:t>
      </w:r>
      <w:r>
        <w:rPr>
          <w:sz w:val="24"/>
          <w:lang w:val="zh-CN"/>
        </w:rPr>
        <w:t>×</w:t>
      </w:r>
      <w:r>
        <w:rPr>
          <w:rFonts w:hint="eastAsia"/>
          <w:sz w:val="24"/>
          <w:lang w:val="zh-CN"/>
        </w:rPr>
        <w:t>0.8</w:t>
      </w:r>
      <w:r>
        <w:rPr>
          <w:sz w:val="24"/>
          <w:lang w:val="zh-CN"/>
        </w:rPr>
        <w:t>%+</w:t>
      </w:r>
      <w:r>
        <w:rPr>
          <w:rFonts w:hint="eastAsia"/>
          <w:sz w:val="24"/>
          <w:lang w:val="zh-CN"/>
        </w:rPr>
        <w:t>（</w:t>
      </w:r>
      <w:r>
        <w:rPr>
          <w:sz w:val="24"/>
          <w:lang w:val="zh-CN"/>
        </w:rPr>
        <w:t>680</w:t>
      </w:r>
      <w:r>
        <w:rPr>
          <w:rFonts w:hint="eastAsia"/>
          <w:sz w:val="24"/>
          <w:lang w:val="zh-CN"/>
        </w:rPr>
        <w:t>5000</w:t>
      </w:r>
      <w:r>
        <w:rPr>
          <w:sz w:val="24"/>
          <w:lang w:val="zh-CN"/>
        </w:rPr>
        <w:t>-500</w:t>
      </w:r>
      <w:r>
        <w:rPr>
          <w:rFonts w:hint="eastAsia"/>
          <w:sz w:val="24"/>
          <w:lang w:val="zh-CN"/>
        </w:rPr>
        <w:t>0000）</w:t>
      </w:r>
      <w:r>
        <w:rPr>
          <w:sz w:val="24"/>
          <w:lang w:val="zh-CN"/>
        </w:rPr>
        <w:t>×0.</w:t>
      </w:r>
      <w:r>
        <w:rPr>
          <w:rFonts w:hint="eastAsia"/>
          <w:sz w:val="24"/>
          <w:lang w:val="zh-CN"/>
        </w:rPr>
        <w:t>45</w:t>
      </w:r>
      <w:r>
        <w:rPr>
          <w:sz w:val="24"/>
          <w:lang w:val="zh-CN"/>
        </w:rPr>
        <w:t>%=</w:t>
      </w:r>
      <w:r>
        <w:rPr>
          <w:rFonts w:hint="eastAsia"/>
          <w:sz w:val="24"/>
          <w:lang w:val="zh-CN"/>
        </w:rPr>
        <w:t>50122.5</w:t>
      </w:r>
      <w:r>
        <w:rPr>
          <w:sz w:val="24"/>
          <w:lang w:val="zh-CN"/>
        </w:rPr>
        <w:t>元，服务费</w:t>
      </w:r>
      <w:r>
        <w:rPr>
          <w:rFonts w:hint="eastAsia"/>
          <w:sz w:val="24"/>
          <w:lang w:val="zh-CN"/>
        </w:rPr>
        <w:t>缴纳50122元。</w:t>
      </w:r>
      <w:r>
        <w:rPr>
          <w:sz w:val="24"/>
          <w:lang w:val="zh-CN"/>
        </w:rPr>
        <w:t>其中中标金额以《中标通知书》为准。</w:t>
      </w:r>
    </w:p>
    <w:p w14:paraId="539D5A8E">
      <w:pPr>
        <w:tabs>
          <w:tab w:val="left" w:pos="700"/>
        </w:tabs>
        <w:autoSpaceDE w:val="0"/>
        <w:autoSpaceDN w:val="0"/>
        <w:adjustRightInd w:val="0"/>
        <w:spacing w:line="360" w:lineRule="auto"/>
        <w:ind w:firstLine="480" w:firstLineChars="200"/>
        <w:rPr>
          <w:sz w:val="24"/>
          <w:szCs w:val="24"/>
          <w:lang w:val="zh-CN"/>
        </w:rPr>
      </w:pPr>
      <w:r>
        <w:rPr>
          <w:rFonts w:hint="eastAsia"/>
          <w:sz w:val="24"/>
          <w:szCs w:val="24"/>
        </w:rPr>
        <w:t>中标供应商应于中标公告发布之日起5个工作日内缴纳</w:t>
      </w:r>
      <w:r>
        <w:rPr>
          <w:rFonts w:hint="eastAsia"/>
          <w:sz w:val="24"/>
          <w:szCs w:val="24"/>
          <w:lang w:val="zh-CN"/>
        </w:rPr>
        <w:t>招标代理服务费，缴费单位名称须与投标单位名称一致，缴费时请注明项目编号及中标包号。</w:t>
      </w:r>
    </w:p>
    <w:p w14:paraId="39B915CC">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名        称：天津市公共资源交易中心</w:t>
      </w:r>
    </w:p>
    <w:p w14:paraId="043C9B0B">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开户行及账号：中国建设银行股份有限公司天津明华支行 </w:t>
      </w:r>
    </w:p>
    <w:p w14:paraId="4E073A95">
      <w:pPr>
        <w:pStyle w:val="11"/>
        <w:spacing w:line="360" w:lineRule="auto"/>
        <w:ind w:firstLine="2152" w:firstLineChars="897"/>
        <w:rPr>
          <w:rFonts w:ascii="Times New Roman" w:hAnsi="Times New Roman" w:eastAsia="宋体" w:cs="Times New Roman"/>
          <w:color w:val="auto"/>
        </w:rPr>
      </w:pPr>
      <w:r>
        <w:rPr>
          <w:rFonts w:ascii="Times New Roman" w:hAnsi="Times New Roman" w:eastAsia="宋体" w:cs="Times New Roman"/>
          <w:color w:val="auto"/>
        </w:rPr>
        <w:t>1205 0162 4900 0000 0675</w:t>
      </w:r>
    </w:p>
    <w:p w14:paraId="64477019">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银行联行号：105110039436</w:t>
      </w:r>
    </w:p>
    <w:p w14:paraId="399CFF08">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纳税人识别号：1212 0000 MB1E 44809C</w:t>
      </w:r>
    </w:p>
    <w:p w14:paraId="7422632D">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地址：天津市河东区红星路79号</w:t>
      </w:r>
    </w:p>
    <w:p w14:paraId="6D579CD5">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缴费及申请开票系统：http://pay.tjggzy.cn/</w:t>
      </w:r>
    </w:p>
    <w:p w14:paraId="339F3B57">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缴费及开票咨询电话：022-24532012</w:t>
      </w:r>
    </w:p>
    <w:p w14:paraId="74F1D684">
      <w:pPr>
        <w:pStyle w:val="11"/>
        <w:spacing w:line="360" w:lineRule="auto"/>
        <w:ind w:firstLine="480" w:firstLineChars="200"/>
        <w:jc w:val="both"/>
        <w:rPr>
          <w:color w:val="auto"/>
          <w:lang w:val="zh-CN"/>
        </w:rPr>
      </w:pPr>
      <w:r>
        <w:rPr>
          <w:rFonts w:hint="eastAsia"/>
          <w:color w:val="auto"/>
          <w:lang w:val="zh-CN"/>
        </w:rPr>
        <w:t>十五、《</w:t>
      </w:r>
      <w:r>
        <w:rPr>
          <w:rFonts w:cs="Times New Roman" w:asciiTheme="minorEastAsia" w:hAnsiTheme="minorEastAsia" w:eastAsiaTheme="minorEastAsia"/>
          <w:bCs/>
          <w:color w:val="auto"/>
        </w:rPr>
        <w:t>“政采贷”业务提示函</w:t>
      </w:r>
      <w:r>
        <w:rPr>
          <w:rFonts w:hint="eastAsia"/>
          <w:color w:val="auto"/>
          <w:lang w:val="zh-CN"/>
        </w:rPr>
        <w:t>》</w:t>
      </w:r>
      <w:r>
        <w:rPr>
          <w:rFonts w:hint="eastAsia" w:asciiTheme="minorEastAsia" w:hAnsiTheme="minorEastAsia" w:eastAsiaTheme="minorEastAsia"/>
          <w:color w:val="auto"/>
          <w:lang w:val="zh-CN"/>
        </w:rPr>
        <w:t>、</w:t>
      </w:r>
      <w:r>
        <w:rPr>
          <w:rFonts w:hint="eastAsia" w:asciiTheme="minorEastAsia" w:hAnsiTheme="minorEastAsia" w:eastAsiaTheme="minorEastAsia"/>
          <w:bCs/>
          <w:color w:val="auto"/>
        </w:rPr>
        <w:t>《</w:t>
      </w:r>
      <w:r>
        <w:rPr>
          <w:rFonts w:cs="Times New Roman" w:asciiTheme="minorEastAsia" w:hAnsiTheme="minorEastAsia" w:eastAsiaTheme="minorEastAsia"/>
          <w:bCs/>
          <w:color w:val="auto"/>
        </w:rPr>
        <w:t>政府采购支持中小</w:t>
      </w:r>
      <w:r>
        <w:rPr>
          <w:rFonts w:cs="Times New Roman" w:asciiTheme="minorEastAsia" w:hAnsiTheme="minorEastAsia" w:eastAsiaTheme="minorEastAsia"/>
          <w:bCs/>
        </w:rPr>
        <w:t>企业政策提示函</w:t>
      </w:r>
      <w:r>
        <w:rPr>
          <w:rFonts w:hint="eastAsia" w:asciiTheme="minorEastAsia" w:hAnsiTheme="minorEastAsia" w:eastAsiaTheme="minorEastAsia"/>
          <w:bCs/>
        </w:rPr>
        <w:t>》和《诚信参与政府采购活动提示函》</w:t>
      </w:r>
    </w:p>
    <w:p w14:paraId="49FED69C">
      <w:pPr>
        <w:pStyle w:val="11"/>
        <w:spacing w:line="360" w:lineRule="auto"/>
        <w:ind w:firstLine="480" w:firstLineChars="200"/>
        <w:jc w:val="both"/>
        <w:rPr>
          <w:rFonts w:ascii="Times New Roman" w:hAnsi="Times New Roman" w:eastAsia="宋体" w:cs="Times New Roman"/>
          <w:color w:val="FF0000"/>
        </w:rPr>
      </w:pPr>
    </w:p>
    <w:p w14:paraId="61814BD8">
      <w:pPr>
        <w:pStyle w:val="11"/>
        <w:spacing w:line="360" w:lineRule="auto"/>
        <w:jc w:val="both"/>
        <w:rPr>
          <w:rFonts w:ascii="Times New Roman" w:hAnsi="Times New Roman" w:eastAsia="宋体" w:cs="Times New Roman"/>
          <w:color w:val="auto"/>
        </w:rPr>
      </w:pPr>
    </w:p>
    <w:p w14:paraId="5A34AC3F">
      <w:pPr>
        <w:pStyle w:val="11"/>
        <w:spacing w:line="360" w:lineRule="auto"/>
        <w:jc w:val="right"/>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31</w:t>
      </w:r>
      <w:r>
        <w:rPr>
          <w:rFonts w:ascii="Times New Roman" w:hAnsi="Times New Roman" w:eastAsia="宋体" w:cs="Times New Roman"/>
          <w:color w:val="auto"/>
        </w:rPr>
        <w:t>日</w:t>
      </w:r>
    </w:p>
    <w:p w14:paraId="49A47D3C">
      <w:pPr>
        <w:pStyle w:val="11"/>
        <w:spacing w:line="360" w:lineRule="auto"/>
        <w:jc w:val="right"/>
        <w:rPr>
          <w:rFonts w:ascii="Times New Roman" w:hAnsi="Times New Roman" w:eastAsia="宋体" w:cs="Times New Roman"/>
          <w:color w:val="auto"/>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
    <w:altName w:val="汉仪中黑KW"/>
    <w:panose1 w:val="00000000000000000000"/>
    <w:charset w:val="86"/>
    <w:family w:val="roman"/>
    <w:pitch w:val="default"/>
    <w:sig w:usb0="00000000" w:usb1="00000000" w:usb2="00000010" w:usb3="00000000" w:csb0="00040000" w:csb1="00000000"/>
  </w:font>
  <w:font w:name="Cambria">
    <w:altName w:val="Georgia"/>
    <w:panose1 w:val="02040503050406030204"/>
    <w:charset w:val="00"/>
    <w:family w:val="roman"/>
    <w:pitch w:val="default"/>
    <w:sig w:usb0="00000000" w:usb1="00000000" w:usb2="02000000" w:usb3="00000000" w:csb0="0000019F" w:csb1="00000000"/>
  </w:font>
  <w:font w:name="Georgia">
    <w:panose1 w:val="02040502050405020303"/>
    <w:charset w:val="00"/>
    <w:family w:val="auto"/>
    <w:pitch w:val="default"/>
    <w:sig w:usb0="00000287" w:usb1="00000000" w:usb2="00000000" w:usb3="00000000" w:csb0="2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A083E">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EB9"/>
    <w:rsid w:val="00004D48"/>
    <w:rsid w:val="000143B1"/>
    <w:rsid w:val="0002297F"/>
    <w:rsid w:val="00027E86"/>
    <w:rsid w:val="00044E7F"/>
    <w:rsid w:val="0007328E"/>
    <w:rsid w:val="0008517D"/>
    <w:rsid w:val="000A6CB6"/>
    <w:rsid w:val="000B4575"/>
    <w:rsid w:val="000B4925"/>
    <w:rsid w:val="000C4997"/>
    <w:rsid w:val="000D7114"/>
    <w:rsid w:val="000D7FF6"/>
    <w:rsid w:val="000F303A"/>
    <w:rsid w:val="001043F3"/>
    <w:rsid w:val="0011064B"/>
    <w:rsid w:val="00124325"/>
    <w:rsid w:val="00125200"/>
    <w:rsid w:val="001333D5"/>
    <w:rsid w:val="00153E2D"/>
    <w:rsid w:val="001825D3"/>
    <w:rsid w:val="00183E71"/>
    <w:rsid w:val="00186247"/>
    <w:rsid w:val="001A46B5"/>
    <w:rsid w:val="001B08D7"/>
    <w:rsid w:val="001B495B"/>
    <w:rsid w:val="001C5C3B"/>
    <w:rsid w:val="001D4F5E"/>
    <w:rsid w:val="001D5D5C"/>
    <w:rsid w:val="001E4756"/>
    <w:rsid w:val="001F1E42"/>
    <w:rsid w:val="0020615F"/>
    <w:rsid w:val="00243B81"/>
    <w:rsid w:val="002B6B0C"/>
    <w:rsid w:val="002C6DE1"/>
    <w:rsid w:val="00304697"/>
    <w:rsid w:val="00305546"/>
    <w:rsid w:val="00342036"/>
    <w:rsid w:val="003A4C99"/>
    <w:rsid w:val="003A5CA4"/>
    <w:rsid w:val="003B530B"/>
    <w:rsid w:val="003B5343"/>
    <w:rsid w:val="003C08C9"/>
    <w:rsid w:val="00403A6B"/>
    <w:rsid w:val="00443C1F"/>
    <w:rsid w:val="00451EE2"/>
    <w:rsid w:val="00470EFC"/>
    <w:rsid w:val="00470FF2"/>
    <w:rsid w:val="00476FA2"/>
    <w:rsid w:val="00486379"/>
    <w:rsid w:val="004A2795"/>
    <w:rsid w:val="004A2C1C"/>
    <w:rsid w:val="004B6903"/>
    <w:rsid w:val="004D3C4B"/>
    <w:rsid w:val="00537EE6"/>
    <w:rsid w:val="00566E3F"/>
    <w:rsid w:val="00571259"/>
    <w:rsid w:val="00575069"/>
    <w:rsid w:val="00576160"/>
    <w:rsid w:val="005C09FA"/>
    <w:rsid w:val="005D6190"/>
    <w:rsid w:val="005F1908"/>
    <w:rsid w:val="005F7F54"/>
    <w:rsid w:val="00605F5F"/>
    <w:rsid w:val="00620BD2"/>
    <w:rsid w:val="00624EBD"/>
    <w:rsid w:val="00657081"/>
    <w:rsid w:val="00667D51"/>
    <w:rsid w:val="00670ACB"/>
    <w:rsid w:val="00676F3F"/>
    <w:rsid w:val="00686828"/>
    <w:rsid w:val="006928F4"/>
    <w:rsid w:val="006A102B"/>
    <w:rsid w:val="006C40E5"/>
    <w:rsid w:val="006F40E4"/>
    <w:rsid w:val="0070334F"/>
    <w:rsid w:val="00703D94"/>
    <w:rsid w:val="00707862"/>
    <w:rsid w:val="00731AF1"/>
    <w:rsid w:val="00750726"/>
    <w:rsid w:val="00753214"/>
    <w:rsid w:val="007822D9"/>
    <w:rsid w:val="00795149"/>
    <w:rsid w:val="007B460E"/>
    <w:rsid w:val="007C17A4"/>
    <w:rsid w:val="007E59C2"/>
    <w:rsid w:val="0080789A"/>
    <w:rsid w:val="00821BFE"/>
    <w:rsid w:val="00831ADF"/>
    <w:rsid w:val="008432D0"/>
    <w:rsid w:val="00855960"/>
    <w:rsid w:val="008654BF"/>
    <w:rsid w:val="00865FB3"/>
    <w:rsid w:val="00893434"/>
    <w:rsid w:val="00896989"/>
    <w:rsid w:val="008C6A32"/>
    <w:rsid w:val="008E0B32"/>
    <w:rsid w:val="008E4767"/>
    <w:rsid w:val="008E71D4"/>
    <w:rsid w:val="00901466"/>
    <w:rsid w:val="009227DA"/>
    <w:rsid w:val="009453E2"/>
    <w:rsid w:val="00997749"/>
    <w:rsid w:val="009A5CDE"/>
    <w:rsid w:val="009B0FB4"/>
    <w:rsid w:val="009B78EB"/>
    <w:rsid w:val="009C5F34"/>
    <w:rsid w:val="009F29B8"/>
    <w:rsid w:val="00A533BC"/>
    <w:rsid w:val="00A55AA9"/>
    <w:rsid w:val="00A577FF"/>
    <w:rsid w:val="00A813CA"/>
    <w:rsid w:val="00A845E3"/>
    <w:rsid w:val="00A91D0A"/>
    <w:rsid w:val="00AC2A02"/>
    <w:rsid w:val="00AC44BD"/>
    <w:rsid w:val="00AE3392"/>
    <w:rsid w:val="00AF6759"/>
    <w:rsid w:val="00B30641"/>
    <w:rsid w:val="00B36BF8"/>
    <w:rsid w:val="00B47AAE"/>
    <w:rsid w:val="00B6479E"/>
    <w:rsid w:val="00BA2189"/>
    <w:rsid w:val="00BB2185"/>
    <w:rsid w:val="00BD1EB9"/>
    <w:rsid w:val="00BE1895"/>
    <w:rsid w:val="00C07F91"/>
    <w:rsid w:val="00C1119D"/>
    <w:rsid w:val="00C24670"/>
    <w:rsid w:val="00C41530"/>
    <w:rsid w:val="00C45154"/>
    <w:rsid w:val="00C8547B"/>
    <w:rsid w:val="00CB3873"/>
    <w:rsid w:val="00CC4364"/>
    <w:rsid w:val="00CE02A0"/>
    <w:rsid w:val="00CE0DCE"/>
    <w:rsid w:val="00CF5FEF"/>
    <w:rsid w:val="00D1484F"/>
    <w:rsid w:val="00D17A5A"/>
    <w:rsid w:val="00D255D3"/>
    <w:rsid w:val="00D270E7"/>
    <w:rsid w:val="00D27E50"/>
    <w:rsid w:val="00D411CE"/>
    <w:rsid w:val="00D50097"/>
    <w:rsid w:val="00D70A6E"/>
    <w:rsid w:val="00DC15CC"/>
    <w:rsid w:val="00DD5DA5"/>
    <w:rsid w:val="00DE2E19"/>
    <w:rsid w:val="00E1764B"/>
    <w:rsid w:val="00E61BCB"/>
    <w:rsid w:val="00E96EB9"/>
    <w:rsid w:val="00ED239A"/>
    <w:rsid w:val="00F07CD9"/>
    <w:rsid w:val="00F122C2"/>
    <w:rsid w:val="00F16BBD"/>
    <w:rsid w:val="00F4264C"/>
    <w:rsid w:val="00F64743"/>
    <w:rsid w:val="00F679F1"/>
    <w:rsid w:val="00F70B38"/>
    <w:rsid w:val="00F71702"/>
    <w:rsid w:val="00F8237E"/>
    <w:rsid w:val="00F92587"/>
    <w:rsid w:val="00FD2C06"/>
    <w:rsid w:val="00FD50B8"/>
    <w:rsid w:val="00FF4167"/>
    <w:rsid w:val="8523CA2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0"/>
    <w:pPr>
      <w:tabs>
        <w:tab w:val="left" w:pos="480"/>
      </w:tabs>
      <w:spacing w:line="560" w:lineRule="exact"/>
      <w:ind w:firstLine="480"/>
      <w:jc w:val="left"/>
    </w:pPr>
    <w:rPr>
      <w:rFonts w:ascii="宋体" w:hAnsi="宋体" w:eastAsia="宋体" w:cs="Times New Roman"/>
      <w:sz w:val="24"/>
      <w:szCs w:val="20"/>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Subtitle"/>
    <w:basedOn w:val="1"/>
    <w:next w:val="1"/>
    <w:link w:val="13"/>
    <w:qFormat/>
    <w:uiPriority w:val="11"/>
    <w:pPr>
      <w:spacing w:before="240" w:after="60" w:line="312" w:lineRule="auto"/>
      <w:jc w:val="center"/>
      <w:outlineLvl w:val="1"/>
    </w:pPr>
    <w:rPr>
      <w:rFonts w:ascii="Cambria" w:hAnsi="Cambria" w:eastAsia="宋体" w:cs="Times New Roman"/>
      <w:b/>
      <w:bCs/>
      <w:kern w:val="28"/>
      <w:sz w:val="32"/>
      <w:szCs w:val="32"/>
      <w:lang w:val="zh-CN" w:eastAsia="zh-CN"/>
    </w:r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paragraph" w:customStyle="1" w:styleId="11">
    <w:name w:val="Default"/>
    <w:link w:val="12"/>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12">
    <w:name w:val="Default Char"/>
    <w:link w:val="11"/>
    <w:qFormat/>
    <w:locked/>
    <w:uiPriority w:val="0"/>
    <w:rPr>
      <w:rFonts w:ascii="......." w:hAnsi="Calibri" w:eastAsia="......." w:cs="......."/>
      <w:color w:val="000000"/>
      <w:kern w:val="0"/>
      <w:sz w:val="24"/>
      <w:szCs w:val="24"/>
    </w:rPr>
  </w:style>
  <w:style w:type="character" w:customStyle="1" w:styleId="13">
    <w:name w:val="副标题 Char"/>
    <w:basedOn w:val="7"/>
    <w:link w:val="5"/>
    <w:qFormat/>
    <w:uiPriority w:val="11"/>
    <w:rPr>
      <w:rFonts w:ascii="Cambria" w:hAnsi="Cambria" w:eastAsia="宋体" w:cs="Times New Roman"/>
      <w:b/>
      <w:bCs/>
      <w:kern w:val="28"/>
      <w:sz w:val="32"/>
      <w:szCs w:val="32"/>
      <w:lang w:val="zh-CN" w:eastAsia="zh-CN"/>
    </w:rPr>
  </w:style>
  <w:style w:type="character" w:customStyle="1" w:styleId="14">
    <w:name w:val="正文文本缩进 Char"/>
    <w:basedOn w:val="7"/>
    <w:link w:val="2"/>
    <w:qFormat/>
    <w:uiPriority w:val="0"/>
    <w:rPr>
      <w:rFonts w:ascii="宋体" w:hAnsi="宋体" w:eastAsia="宋体" w:cs="Times New Roman"/>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神州网信技术有限公司</Company>
  <Pages>6</Pages>
  <Words>653</Words>
  <Characters>3726</Characters>
  <Lines>31</Lines>
  <Paragraphs>8</Paragraphs>
  <TotalTime>85</TotalTime>
  <ScaleCrop>false</ScaleCrop>
  <LinksUpToDate>false</LinksUpToDate>
  <CharactersWithSpaces>4371</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2025-02-12T16:32:00Z</dcterms:created>
  <dc:creator>未定义</dc:creator>
  <cp:lastModifiedBy>未定义</cp:lastModifiedBy>
  <dcterms:modified xsi:type="dcterms:W3CDTF">2025-12-31T14:46:30Z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EB774A24E14BB719C6C654697864777C_43</vt:lpwstr>
  </property>
</Properties>
</file>